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MEGA House cierra con éxito después de tres noches de saborear la vida</w:t>
      </w:r>
    </w:p>
    <w:p w:rsidR="00000000" w:rsidDel="00000000" w:rsidP="00000000" w:rsidRDefault="00000000" w:rsidRPr="00000000" w14:paraId="00000002">
      <w:pPr>
        <w:ind w:left="144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MEGA House reunió a </w:t>
      </w:r>
      <w:r w:rsidDel="00000000" w:rsidR="00000000" w:rsidRPr="00000000">
        <w:rPr>
          <w:i w:val="1"/>
          <w:highlight w:val="white"/>
          <w:rtl w:val="0"/>
        </w:rPr>
        <w:t xml:space="preserve">más de 1,500 personas por día</w:t>
      </w:r>
      <w:r w:rsidDel="00000000" w:rsidR="00000000" w:rsidRPr="00000000">
        <w:rPr>
          <w:i w:val="1"/>
          <w:rtl w:val="0"/>
        </w:rPr>
        <w:t xml:space="preserve"> en una experiencia multisensorial en la que la </w:t>
      </w:r>
      <w:r w:rsidDel="00000000" w:rsidR="00000000" w:rsidRPr="00000000">
        <w:rPr>
          <w:i w:val="1"/>
          <w:rtl w:val="0"/>
        </w:rPr>
        <w:t xml:space="preserve">música</w:t>
      </w:r>
      <w:r w:rsidDel="00000000" w:rsidR="00000000" w:rsidRPr="00000000">
        <w:rPr>
          <w:i w:val="1"/>
          <w:rtl w:val="0"/>
        </w:rPr>
        <w:t xml:space="preserve"> y el helado se fusionaron.  </w:t>
      </w:r>
    </w:p>
    <w:p w:rsidR="00000000" w:rsidDel="00000000" w:rsidP="00000000" w:rsidRDefault="00000000" w:rsidRPr="00000000" w14:paraId="00000004">
      <w:pPr>
        <w:numPr>
          <w:ilvl w:val="0"/>
          <w:numId w:val="1"/>
        </w:numPr>
        <w:ind w:left="720" w:hanging="360"/>
        <w:jc w:val="both"/>
        <w:rPr>
          <w:i w:val="1"/>
          <w:u w:val="none"/>
        </w:rPr>
      </w:pPr>
      <w:r w:rsidDel="00000000" w:rsidR="00000000" w:rsidRPr="00000000">
        <w:rPr>
          <w:i w:val="1"/>
          <w:rtl w:val="0"/>
        </w:rPr>
        <w:t xml:space="preserve">La experiencia nos trajo momentos Mega como a Leonardo de Lozanne y Kinky interpretando “Cómo te voy a olvidar” de Los Ángeles Azules </w:t>
      </w:r>
    </w:p>
    <w:p w:rsidR="00000000" w:rsidDel="00000000" w:rsidP="00000000" w:rsidRDefault="00000000" w:rsidRPr="00000000" w14:paraId="00000005">
      <w:pPr>
        <w:ind w:left="720" w:firstLine="0"/>
        <w:jc w:val="both"/>
        <w:rPr>
          <w:i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22 de agosto del 2023</w:t>
      </w:r>
      <w:r w:rsidDel="00000000" w:rsidR="00000000" w:rsidRPr="00000000">
        <w:rPr>
          <w:rtl w:val="0"/>
        </w:rPr>
        <w:t xml:space="preserve">.- MEGA House, una experiencia inmersiva que celebra el relanzamiento de MEGA® de Helados Nestlé y su nueva trilogía de paletas, llegó a su último día de actividades. Pero no podría ser de mejor manera que con el talento de Kinky, una de las bandas más icónicas de la escena musical mexicana.</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MEGA House finalizó la noche del sábado 19 de agosto. Al evento exclusivo asistieron un aproximado de más de 1,500 personas por día. </w:t>
      </w:r>
      <w:r w:rsidDel="00000000" w:rsidR="00000000" w:rsidRPr="00000000">
        <w:rPr>
          <w:rtl w:val="0"/>
        </w:rPr>
        <w:t xml:space="preserve">Uno de los actos más esperados eran los conciertos en vivo, donde los protagonistas de los tres días</w:t>
      </w:r>
      <w:r w:rsidDel="00000000" w:rsidR="00000000" w:rsidRPr="00000000">
        <w:rPr>
          <w:rtl w:val="0"/>
        </w:rPr>
        <w:t xml:space="preserve"> fueron</w:t>
      </w:r>
      <w:r w:rsidDel="00000000" w:rsidR="00000000" w:rsidRPr="00000000">
        <w:rPr>
          <w:rtl w:val="0"/>
        </w:rPr>
        <w:t xml:space="preserve">: Ximena </w:t>
      </w:r>
      <w:r w:rsidDel="00000000" w:rsidR="00000000" w:rsidRPr="00000000">
        <w:rPr>
          <w:rtl w:val="0"/>
        </w:rPr>
        <w:t xml:space="preserve">Sariñana</w:t>
      </w:r>
      <w:r w:rsidDel="00000000" w:rsidR="00000000" w:rsidRPr="00000000">
        <w:rPr>
          <w:rtl w:val="0"/>
        </w:rPr>
        <w:t xml:space="preserve">, Arón Piper y finalmente Kinky. A ello se sumaron tres artistas invitados sorpresa: Santiago Casillas; vocalista de Little Jesus, Leonardo de Lozanne, y Zizzy, quienes resonaron en la MEGA House, creando un ambiente íntimo y relajado.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Kinky, que se presentó para el día de clausura, puso a bailar a tod</w:t>
      </w:r>
      <w:r w:rsidDel="00000000" w:rsidR="00000000" w:rsidRPr="00000000">
        <w:rPr>
          <w:rtl w:val="0"/>
        </w:rPr>
        <w:t xml:space="preserve">o</w:t>
      </w:r>
      <w:r w:rsidDel="00000000" w:rsidR="00000000" w:rsidRPr="00000000">
        <w:rPr>
          <w:rtl w:val="0"/>
        </w:rPr>
        <w:t xml:space="preserve">s con su característico estilo musical. La agrupación entregó una actuación que mantuvo a los asistentes emocionados con hits como:</w:t>
      </w:r>
      <w:r w:rsidDel="00000000" w:rsidR="00000000" w:rsidRPr="00000000">
        <w:rPr>
          <w:highlight w:val="white"/>
          <w:rtl w:val="0"/>
        </w:rPr>
        <w:t xml:space="preserve"> </w:t>
      </w:r>
      <w:r w:rsidDel="00000000" w:rsidR="00000000" w:rsidRPr="00000000">
        <w:rPr>
          <w:i w:val="1"/>
          <w:highlight w:val="white"/>
          <w:rtl w:val="0"/>
        </w:rPr>
        <w:t xml:space="preserve">“Después del Afte</w:t>
      </w:r>
      <w:r w:rsidDel="00000000" w:rsidR="00000000" w:rsidRPr="00000000">
        <w:rPr>
          <w:highlight w:val="white"/>
          <w:rtl w:val="0"/>
        </w:rPr>
        <w:t xml:space="preserve">r”, “</w:t>
      </w:r>
      <w:r w:rsidDel="00000000" w:rsidR="00000000" w:rsidRPr="00000000">
        <w:rPr>
          <w:i w:val="1"/>
          <w:highlight w:val="white"/>
          <w:rtl w:val="0"/>
        </w:rPr>
        <w:t xml:space="preserve">Soun Tha mi primer amor</w:t>
      </w:r>
      <w:r w:rsidDel="00000000" w:rsidR="00000000" w:rsidRPr="00000000">
        <w:rPr>
          <w:highlight w:val="white"/>
          <w:rtl w:val="0"/>
        </w:rPr>
        <w:t xml:space="preserve">” y “¿</w:t>
      </w:r>
      <w:r w:rsidDel="00000000" w:rsidR="00000000" w:rsidRPr="00000000">
        <w:rPr>
          <w:i w:val="1"/>
          <w:highlight w:val="white"/>
          <w:rtl w:val="0"/>
        </w:rPr>
        <w:t xml:space="preserve">A dónde van los muertos?</w:t>
      </w:r>
      <w:r w:rsidDel="00000000" w:rsidR="00000000" w:rsidRPr="00000000">
        <w:rPr>
          <w:highlight w:val="white"/>
          <w:rtl w:val="0"/>
        </w:rPr>
        <w:t xml:space="preserve">”</w:t>
      </w:r>
      <w:r w:rsidDel="00000000" w:rsidR="00000000" w:rsidRPr="00000000">
        <w:rPr>
          <w:rtl w:val="0"/>
        </w:rPr>
        <w:t xml:space="preserve">. Con su mezcla de géneros rock, electrónica y ritmos latinos contagiosos, los de Monterrey demostraron que son una de las bandas más creativas de México.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Además, uno de los Momento Mega más esperados de la noche fu</w:t>
      </w:r>
      <w:r w:rsidDel="00000000" w:rsidR="00000000" w:rsidRPr="00000000">
        <w:rPr>
          <w:rtl w:val="0"/>
        </w:rPr>
        <w:t xml:space="preserve">e</w:t>
      </w:r>
      <w:r w:rsidDel="00000000" w:rsidR="00000000" w:rsidRPr="00000000">
        <w:rPr>
          <w:rtl w:val="0"/>
        </w:rPr>
        <w:t xml:space="preserve"> el dueto entre la agrupación regia junto a Leonardo de Lozanne,</w:t>
      </w:r>
      <w:r w:rsidDel="00000000" w:rsidR="00000000" w:rsidRPr="00000000">
        <w:rPr>
          <w:rtl w:val="0"/>
        </w:rPr>
        <w:t xml:space="preserve"> vo</w:t>
      </w:r>
      <w:r w:rsidDel="00000000" w:rsidR="00000000" w:rsidRPr="00000000">
        <w:rPr>
          <w:rtl w:val="0"/>
        </w:rPr>
        <w:t xml:space="preserve">calista de Fobia, quienes entonaron el cover de </w:t>
      </w:r>
      <w:r w:rsidDel="00000000" w:rsidR="00000000" w:rsidRPr="00000000">
        <w:rPr>
          <w:i w:val="1"/>
          <w:rtl w:val="0"/>
        </w:rPr>
        <w:t xml:space="preserve">“Cómo te voy a olvidar</w:t>
      </w:r>
      <w:r w:rsidDel="00000000" w:rsidR="00000000" w:rsidRPr="00000000">
        <w:rPr>
          <w:rtl w:val="0"/>
        </w:rPr>
        <w:t xml:space="preserve">”, canción original de Los Ángeles Azules.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MEGA® de Helados Nestlé mostró otra manera de saborear la vida con este gran espectáculo que quedará grabado en la memoria de todos los presentes, quienes también fueron deleitados con una verdadera experiencia indulgente inspirada en su nueva trilogía de paletas</w:t>
      </w:r>
      <w:r w:rsidDel="00000000" w:rsidR="00000000" w:rsidRPr="00000000">
        <w:rPr>
          <w:rtl w:val="0"/>
        </w:rPr>
        <w:t xml:space="preserve"> Chocolate &amp; Nuts, Chocolate &amp; Coconut y  </w:t>
      </w:r>
      <w:r w:rsidDel="00000000" w:rsidR="00000000" w:rsidRPr="00000000">
        <w:rPr>
          <w:rtl w:val="0"/>
        </w:rPr>
        <w:t xml:space="preserve">Chocolate</w:t>
      </w:r>
      <w:r w:rsidDel="00000000" w:rsidR="00000000" w:rsidRPr="00000000">
        <w:rPr>
          <w:rtl w:val="0"/>
        </w:rPr>
        <w:t xml:space="preserve"> &amp; Cherry. </w:t>
      </w: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En este sentido, los asistentes probaron las nuevas tres paletas de chocolate en diferentes mezclas personalizadas. Por ejemplo, en malteadas y otros pudieron probarlas como relleno para diversos bocadillos. Entre las </w:t>
      </w:r>
      <w:r w:rsidDel="00000000" w:rsidR="00000000" w:rsidRPr="00000000">
        <w:rPr>
          <w:rtl w:val="0"/>
        </w:rPr>
        <w:t xml:space="preserve">fusiones</w:t>
      </w:r>
      <w:r w:rsidDel="00000000" w:rsidR="00000000" w:rsidRPr="00000000">
        <w:rPr>
          <w:rtl w:val="0"/>
        </w:rPr>
        <w:t xml:space="preserve"> más creativas estuvieron: la concha de fresa con Chocolate &amp; Cherry, la dona glaseada rellena de Chocolate &amp; Nuts con cobertura de tocino y un rico Éclair con Chocolate &amp; Coconut.</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vertAlign w:val="subscript"/>
        </w:rPr>
      </w:pPr>
      <w:r w:rsidDel="00000000" w:rsidR="00000000" w:rsidRPr="00000000">
        <w:rPr>
          <w:rtl w:val="0"/>
        </w:rPr>
        <w:t xml:space="preserve">Finalmente, MEGA House fue un éxito total que cerró con la suma de los esfuerzos estratégicos de Helados Nestlé para renovar la imagen de MEGA®. El innovador concepto se basa en ofrecer experiencias genuinamente indulgentes a través historias reales</w:t>
      </w:r>
      <w:r w:rsidDel="00000000" w:rsidR="00000000" w:rsidRPr="00000000">
        <w:rPr>
          <w:rtl w:val="0"/>
        </w:rPr>
        <w:t xml:space="preserve"> de entretenimiento y chocolate</w:t>
      </w:r>
      <w:r w:rsidDel="00000000" w:rsidR="00000000" w:rsidRPr="00000000">
        <w:rPr>
          <w:rtl w:val="0"/>
        </w:rPr>
        <w:t xml:space="preserve">, lo que marcó un nuevo comienzo para la marca.  </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5">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6">
      <w:pPr>
        <w:spacing w:line="240" w:lineRule="auto"/>
        <w:jc w:val="both"/>
        <w:rPr>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8">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6">
        <w:r w:rsidDel="00000000" w:rsidR="00000000" w:rsidRPr="00000000">
          <w:rPr>
            <w:color w:val="0000ff"/>
            <w:sz w:val="18"/>
            <w:szCs w:val="18"/>
            <w:rtl w:val="0"/>
          </w:rPr>
          <w:t xml:space="preserve">Mega.Helados.MX</w:t>
        </w:r>
      </w:hyperlink>
      <w:hyperlink r:id="rId7">
        <w:r w:rsidDel="00000000" w:rsidR="00000000" w:rsidRPr="00000000">
          <w:rPr>
            <w:color w:val="1155cc"/>
            <w:sz w:val="18"/>
            <w:szCs w:val="18"/>
            <w:u w:val="single"/>
            <w:rtl w:val="0"/>
          </w:rPr>
          <w:t xml:space="preserve"> </w:t>
        </w:r>
      </w:hyperlink>
      <w:r w:rsidDel="00000000" w:rsidR="00000000" w:rsidRPr="00000000">
        <w:rPr>
          <w:color w:val="0000ff"/>
          <w:sz w:val="18"/>
          <w:szCs w:val="18"/>
          <w:rtl w:val="0"/>
        </w:rPr>
        <w:t xml:space="preserve"> </w:t>
      </w:r>
    </w:p>
    <w:p w:rsidR="00000000" w:rsidDel="00000000" w:rsidP="00000000" w:rsidRDefault="00000000" w:rsidRPr="00000000" w14:paraId="0000001A">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w:t>
      </w:r>
      <w:r w:rsidDel="00000000" w:rsidR="00000000" w:rsidRPr="00000000">
        <w:rPr>
          <w:sz w:val="18"/>
          <w:szCs w:val="18"/>
          <w:rtl w:val="0"/>
        </w:rPr>
        <w:t xml:space="preserve">: </w:t>
      </w:r>
      <w:hyperlink r:id="rId8">
        <w:r w:rsidDel="00000000" w:rsidR="00000000" w:rsidRPr="00000000">
          <w:rPr>
            <w:color w:val="0000ff"/>
            <w:sz w:val="18"/>
            <w:szCs w:val="18"/>
            <w:rtl w:val="0"/>
          </w:rPr>
          <w:t xml:space="preserve">@mega mexico</w:t>
        </w:r>
      </w:hyperlink>
      <w:r w:rsidDel="00000000" w:rsidR="00000000" w:rsidRPr="00000000">
        <w:rPr>
          <w:rtl w:val="0"/>
        </w:rPr>
      </w:r>
    </w:p>
    <w:p w:rsidR="00000000" w:rsidDel="00000000" w:rsidP="00000000" w:rsidRDefault="00000000" w:rsidRPr="00000000" w14:paraId="0000001B">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highlight w:val="white"/>
        </w:rPr>
      </w:pPr>
      <w:r w:rsidDel="00000000" w:rsidR="00000000" w:rsidRPr="00000000">
        <w:rPr>
          <w:b w:val="1"/>
          <w:sz w:val="18"/>
          <w:szCs w:val="18"/>
          <w:highlight w:val="white"/>
          <w:rtl w:val="0"/>
        </w:rPr>
        <w:t xml:space="preserve">Acerca de Grupo Herdez</w:t>
      </w:r>
    </w:p>
    <w:p w:rsidR="00000000" w:rsidDel="00000000" w:rsidP="00000000" w:rsidRDefault="00000000" w:rsidRPr="00000000" w14:paraId="0000001D">
      <w:pPr>
        <w:spacing w:line="240" w:lineRule="auto"/>
        <w:jc w:val="both"/>
        <w:rPr>
          <w:sz w:val="18"/>
          <w:szCs w:val="18"/>
          <w:highlight w:val="white"/>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9">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p>
    <w:p w:rsidR="00000000" w:rsidDel="00000000" w:rsidP="00000000" w:rsidRDefault="00000000" w:rsidRPr="00000000" w14:paraId="0000001E">
      <w:pPr>
        <w:spacing w:line="240" w:lineRule="auto"/>
        <w:jc w:val="both"/>
        <w:rPr>
          <w:b w:val="1"/>
        </w:rPr>
      </w:pPr>
      <w:r w:rsidDel="00000000" w:rsidR="00000000" w:rsidRPr="00000000">
        <w:rPr>
          <w:rtl w:val="0"/>
        </w:rPr>
      </w:r>
    </w:p>
    <w:p w:rsidR="00000000" w:rsidDel="00000000" w:rsidP="00000000" w:rsidRDefault="00000000" w:rsidRPr="00000000" w14:paraId="0000001F">
      <w:pPr>
        <w:spacing w:line="240" w:lineRule="auto"/>
        <w:jc w:val="both"/>
        <w:rPr>
          <w:b w:val="1"/>
        </w:rPr>
      </w:pP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1">
      <w:pPr>
        <w:spacing w:line="240" w:lineRule="auto"/>
        <w:jc w:val="both"/>
        <w:rPr/>
      </w:pPr>
      <w:r w:rsidDel="00000000" w:rsidR="00000000" w:rsidRPr="00000000">
        <w:rPr>
          <w:rtl w:val="0"/>
        </w:rPr>
        <w:t xml:space="preserve">Rosa Torres                                                      </w:t>
      </w:r>
    </w:p>
    <w:p w:rsidR="00000000" w:rsidDel="00000000" w:rsidP="00000000" w:rsidRDefault="00000000" w:rsidRPr="00000000" w14:paraId="00000022">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3">
      <w:pPr>
        <w:spacing w:line="240" w:lineRule="auto"/>
        <w:jc w:val="both"/>
        <w:rPr/>
      </w:pPr>
      <w:r w:rsidDel="00000000" w:rsidR="00000000" w:rsidRPr="00000000">
        <w:rPr>
          <w:rtl w:val="0"/>
        </w:rPr>
        <w:t xml:space="preserve">55 5453 8277                                                                                                   </w:t>
      </w:r>
    </w:p>
    <w:p w:rsidR="00000000" w:rsidDel="00000000" w:rsidP="00000000" w:rsidRDefault="00000000" w:rsidRPr="00000000" w14:paraId="00000024">
      <w:pPr>
        <w:spacing w:line="240" w:lineRule="auto"/>
        <w:jc w:val="both"/>
        <w:rPr/>
      </w:pPr>
      <w:hyperlink r:id="rId10">
        <w:r w:rsidDel="00000000" w:rsidR="00000000" w:rsidRPr="00000000">
          <w:rPr>
            <w:color w:val="1155cc"/>
            <w:u w:val="single"/>
            <w:rtl w:val="0"/>
          </w:rPr>
          <w:t xml:space="preserve">rosa.torres@another.co</w:t>
        </w:r>
      </w:hyperlink>
      <w:r w:rsidDel="00000000" w:rsidR="00000000" w:rsidRPr="00000000">
        <w:rPr>
          <w:rtl w:val="0"/>
        </w:rPr>
        <w:t xml:space="preserve">                                    </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b w:val="1"/>
          <w:u w:val="singl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2175038</wp:posOffset>
          </wp:positionH>
          <wp:positionV relativeFrom="paragraph">
            <wp:posOffset>19050</wp:posOffset>
          </wp:positionV>
          <wp:extent cx="1380270" cy="604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27453" l="0" r="0" t="28634"/>
                  <a:stretch>
                    <a:fillRect/>
                  </a:stretch>
                </pic:blipFill>
                <pic:spPr>
                  <a:xfrm>
                    <a:off x="0" y="0"/>
                    <a:ext cx="1380270"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rosa.torres@another.co" TargetMode="External"/><Relationship Id="rId9" Type="http://schemas.openxmlformats.org/officeDocument/2006/relationships/hyperlink" Target="http://www.grupoherdez.com.mx" TargetMode="External"/><Relationship Id="rId5" Type="http://schemas.openxmlformats.org/officeDocument/2006/relationships/styles" Target="styles.xml"/><Relationship Id="rId6" Type="http://schemas.openxmlformats.org/officeDocument/2006/relationships/hyperlink" Target="https://www.facebook.com/profile.php?id=100081871614326" TargetMode="External"/><Relationship Id="rId7" Type="http://schemas.openxmlformats.org/officeDocument/2006/relationships/hyperlink" Target="https://www.facebook.com/profile.php?id=100081871614326" TargetMode="External"/><Relationship Id="rId8" Type="http://schemas.openxmlformats.org/officeDocument/2006/relationships/hyperlink" Target="https://www.instagram.com/mega_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